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pos="-9"/>
              </w:tabs>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provision of any configuration information reasonably required to effect the implementation of the Replacement Services; </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pos="-9"/>
              </w:tabs>
              <w:spacing w:after="120" w:lineRule="auto"/>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activity required to facilitate the transition from the live operation of an existing Service to the live operation of a Replacement Service and</w:t>
            </w:r>
            <w:r w:rsidDel="00000000" w:rsidR="00000000" w:rsidRPr="00000000">
              <w:rPr>
                <w:rtl w:val="0"/>
              </w:rPr>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tabs>
                <w:tab w:val="left" w:pos="-9"/>
              </w:tabs>
              <w:spacing w:after="120" w:lineRule="auto"/>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insofar as they relate to Exclusive Assets and Non-Exclusive Assets; and</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8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in relation to Exclusive and Non-Exclusive Assets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"Exit Information").</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4">
      <w:pPr>
        <w:keepNext w:val="1"/>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b w:val="1"/>
          <w:color w:val="000000"/>
          <w:sz w:val="24"/>
          <w:szCs w:val="24"/>
          <w:highlight w:val="white"/>
          <w:rtl w:val="0"/>
        </w:rPr>
        <w:t xml:space="preserve">six (6)</w:t>
      </w:r>
      <w:r w:rsidDel="00000000" w:rsidR="00000000" w:rsidRPr="00000000">
        <w:rPr>
          <w:rFonts w:ascii="Arial" w:cs="Arial" w:eastAsia="Arial" w:hAnsi="Arial"/>
          <w:color w:val="000000"/>
          <w:sz w:val="24"/>
          <w:szCs w:val="24"/>
          <w:highlight w:val="white"/>
          <w:rtl w:val="0"/>
        </w:rPr>
        <w:t xml:space="preserve"> months] </w:t>
      </w:r>
      <w:r w:rsidDel="00000000" w:rsidR="00000000" w:rsidRPr="00000000">
        <w:rPr>
          <w:rFonts w:ascii="Arial" w:cs="Arial" w:eastAsia="Arial" w:hAnsi="Arial"/>
          <w:color w:val="000000"/>
          <w:sz w:val="24"/>
          <w:szCs w:val="24"/>
          <w:rtl w:val="0"/>
        </w:rPr>
        <w:t xml:space="preserve">throughout the Contract Period; and</w:t>
      </w:r>
    </w:p>
    <w:p w:rsidR="00000000" w:rsidDel="00000000" w:rsidP="00000000" w:rsidRDefault="00000000" w:rsidRPr="00000000" w14:paraId="00000047">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twenty (20)</w:t>
      </w:r>
      <w:r w:rsidDel="00000000" w:rsidR="00000000" w:rsidRPr="00000000">
        <w:rPr>
          <w:rFonts w:ascii="Arial" w:cs="Arial" w:eastAsia="Arial" w:hAnsi="Arial"/>
          <w:color w:val="000000"/>
          <w:sz w:val="24"/>
          <w:szCs w:val="24"/>
          <w:highlight w:val="white"/>
          <w:rtl w:val="0"/>
        </w:rPr>
        <w:t xml:space="preserve"> Working Days] </w:t>
      </w:r>
      <w:r w:rsidDel="00000000" w:rsidR="00000000" w:rsidRPr="00000000">
        <w:rPr>
          <w:rFonts w:ascii="Arial" w:cs="Arial" w:eastAsia="Arial" w:hAnsi="Arial"/>
          <w:color w:val="000000"/>
          <w:sz w:val="24"/>
          <w:szCs w:val="24"/>
          <w:rtl w:val="0"/>
        </w:rPr>
        <w:t xml:space="preserve">after a request from the Buyer for an up-to-date copy of the Exit Plan; </w:t>
      </w:r>
    </w:p>
    <w:p w:rsidR="00000000" w:rsidDel="00000000" w:rsidP="00000000" w:rsidRDefault="00000000" w:rsidRPr="00000000" w14:paraId="00000048">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ten (10) </w:t>
      </w:r>
      <w:r w:rsidDel="00000000" w:rsidR="00000000" w:rsidRPr="00000000">
        <w:rPr>
          <w:rFonts w:ascii="Arial" w:cs="Arial" w:eastAsia="Arial" w:hAnsi="Arial"/>
          <w:color w:val="000000"/>
          <w:sz w:val="24"/>
          <w:szCs w:val="24"/>
          <w:highlight w:val="white"/>
          <w:rtl w:val="0"/>
        </w:rPr>
        <w:t xml:space="preserve">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b w:val="1"/>
          <w:color w:val="000000"/>
          <w:sz w:val="24"/>
          <w:szCs w:val="24"/>
          <w:highlight w:val="white"/>
          <w:rtl w:val="0"/>
        </w:rPr>
        <w:t xml:space="preserve">twenty (20)</w:t>
      </w:r>
      <w:r w:rsidDel="00000000" w:rsidR="00000000" w:rsidRPr="00000000">
        <w:rPr>
          <w:rFonts w:ascii="Arial" w:cs="Arial" w:eastAsia="Arial" w:hAnsi="Arial"/>
          <w:color w:val="000000"/>
          <w:sz w:val="24"/>
          <w:szCs w:val="24"/>
          <w:highlight w:val="white"/>
          <w:rtl w:val="0"/>
        </w:rPr>
        <w:t xml:space="preserve"> Working Days] </w:t>
      </w:r>
      <w:r w:rsidDel="00000000" w:rsidR="00000000" w:rsidRPr="00000000">
        <w:rPr>
          <w:rFonts w:ascii="Arial" w:cs="Arial" w:eastAsia="Arial" w:hAnsi="Arial"/>
          <w:color w:val="000000"/>
          <w:sz w:val="24"/>
          <w:szCs w:val="24"/>
          <w:rtl w:val="0"/>
        </w:rPr>
        <w:t xml:space="preserve">following, any material change to the Deliverables (including all changes under the Variation Procedure); and  </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D">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 and </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whether the Buyer requires any additional services to assist with exit beyond what is required by this Schedule, which may be chargeable by the Supplier. </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8">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insofar as it relates to Exclusive Assets and Non-Exclusive Assets; or</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w:t>
      </w:r>
      <w:r w:rsidDel="00000000" w:rsidR="00000000" w:rsidRPr="00000000">
        <w:rPr>
          <w:rFonts w:ascii="Arial" w:cs="Arial" w:eastAsia="Arial" w:hAnsi="Arial"/>
          <w:color w:val="000000"/>
          <w:sz w:val="24"/>
          <w:szCs w:val="24"/>
          <w:rtl w:val="0"/>
        </w:rPr>
        <w:t xml:space="preserve">Sub-contract</w:t>
      </w:r>
      <w:r w:rsidDel="00000000" w:rsidR="00000000" w:rsidRPr="00000000">
        <w:rPr>
          <w:rFonts w:ascii="Arial" w:cs="Arial" w:eastAsia="Arial" w:hAnsi="Arial"/>
          <w:color w:val="000000"/>
          <w:sz w:val="24"/>
          <w:szCs w:val="24"/>
          <w:rtl w:val="0"/>
        </w:rPr>
        <w:t xml:space="preserve"> or licence for any software in connection with the Deliverables; or</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29"/>
    <w:bookmarkEnd w:id="29"/>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4">
      <w:pPr>
        <w:numPr>
          <w:ilvl w:val="3"/>
          <w:numId w:val="2"/>
        </w:numPr>
        <w:pBdr>
          <w:top w:space="0" w:sz="0" w:val="nil"/>
          <w:left w:space="0" w:sz="0" w:val="nil"/>
          <w:bottom w:space="0" w:sz="0" w:val="nil"/>
          <w:right w:space="0" w:sz="0" w:val="nil"/>
          <w:between w:space="0" w:sz="0" w:val="nil"/>
        </w:pBdr>
        <w:tabs>
          <w:tab w:val="left" w:pos="2268"/>
        </w:tabs>
        <w:spacing w:after="120" w:before="120" w:line="240" w:lineRule="auto"/>
        <w:ind w:left="2268" w:hanging="566.999999999999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985"/>
          <w:tab w:val="left" w:pos="2127"/>
        </w:tabs>
        <w:spacing w:after="120" w:before="120" w:line="240" w:lineRule="auto"/>
        <w:ind w:left="92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E">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82">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3">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bookmarkStart w:colFirst="0" w:colLast="0" w:name="_heading=h.41mghml" w:id="37"/>
      <w:bookmarkEnd w:id="37"/>
      <w:r w:rsidDel="00000000" w:rsidR="00000000" w:rsidRPr="00000000">
        <w:rPr>
          <w:rFonts w:ascii="Arial Bold" w:cs="Arial Bold" w:eastAsia="Arial Bold" w:hAnsi="Arial Bold"/>
          <w:b w:val="1"/>
          <w:color w:val="000000"/>
          <w:sz w:val="24"/>
          <w:szCs w:val="24"/>
          <w:rtl w:val="0"/>
        </w:rPr>
        <w:t xml:space="preserve">No charges </w:t>
      </w:r>
    </w:p>
    <w:p w:rsidR="00000000" w:rsidDel="00000000" w:rsidP="00000000" w:rsidRDefault="00000000" w:rsidRPr="00000000" w14:paraId="00000084">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tabs>
          <w:tab w:val="left" w:pos="0"/>
        </w:tabs>
        <w:spacing w:after="240" w:before="240" w:line="240" w:lineRule="auto"/>
        <w:ind w:left="644" w:hanging="644"/>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Dividing the bills </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85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w:t>
    </w:r>
    <w:r w:rsidDel="00000000" w:rsidR="00000000" w:rsidRPr="00000000">
      <w:rPr>
        <w:rFonts w:ascii="Arial" w:cs="Arial" w:eastAsia="Arial" w:hAnsi="Arial"/>
        <w:sz w:val="20"/>
        <w:szCs w:val="20"/>
        <w:rtl w:val="0"/>
      </w:rPr>
      <w:t xml:space="preserve">RM6261</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39"/>
    <w:bookmarkEnd w:id="39"/>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zxHcFh80ORUBA6Xto2egtyE74A==">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2022-08-03T11:07:00Z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